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00F" w:rsidRPr="00132028" w:rsidRDefault="001D100F" w:rsidP="001D100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32028">
        <w:rPr>
          <w:rFonts w:ascii="Arial" w:hAnsi="Arial" w:cs="Arial"/>
          <w:b/>
          <w:bCs/>
          <w:sz w:val="22"/>
          <w:szCs w:val="22"/>
          <w:u w:val="single"/>
        </w:rPr>
        <w:t xml:space="preserve">ANEXO </w:t>
      </w:r>
      <w:r w:rsidR="009E2255" w:rsidRPr="00132028">
        <w:rPr>
          <w:rFonts w:ascii="Arial" w:hAnsi="Arial" w:cs="Arial"/>
          <w:b/>
          <w:bCs/>
          <w:sz w:val="22"/>
          <w:szCs w:val="22"/>
          <w:u w:val="single"/>
        </w:rPr>
        <w:t>II</w:t>
      </w:r>
    </w:p>
    <w:p w:rsidR="001517E0" w:rsidRDefault="001517E0" w:rsidP="00633EF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32028">
        <w:rPr>
          <w:rFonts w:ascii="Arial" w:hAnsi="Arial" w:cs="Arial"/>
          <w:b/>
          <w:bCs/>
          <w:sz w:val="22"/>
          <w:szCs w:val="22"/>
          <w:u w:val="single"/>
        </w:rPr>
        <w:t>DECLARAÇÃO DE CONDIÇÕES DE DIRIGENTE</w:t>
      </w:r>
      <w:r w:rsidR="00D606EB" w:rsidRPr="00132028">
        <w:rPr>
          <w:rFonts w:ascii="Arial" w:hAnsi="Arial" w:cs="Arial"/>
          <w:b/>
          <w:bCs/>
          <w:sz w:val="22"/>
          <w:szCs w:val="22"/>
          <w:u w:val="single"/>
        </w:rPr>
        <w:t>S</w:t>
      </w:r>
    </w:p>
    <w:p w:rsidR="00542B3C" w:rsidRPr="00542B3C" w:rsidRDefault="00542B3C" w:rsidP="00633EF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8"/>
          <w:szCs w:val="22"/>
          <w:u w:val="single"/>
        </w:rPr>
      </w:pPr>
      <w:r w:rsidRPr="00542B3C">
        <w:rPr>
          <w:rFonts w:ascii="Arial" w:hAnsi="Arial" w:cs="Arial"/>
          <w:sz w:val="18"/>
          <w:szCs w:val="22"/>
        </w:rPr>
        <w:t>(</w:t>
      </w:r>
      <w:r w:rsidRPr="00542B3C">
        <w:rPr>
          <w:rFonts w:ascii="Arial" w:hAnsi="Arial" w:cs="Arial"/>
          <w:sz w:val="18"/>
          <w:szCs w:val="22"/>
        </w:rPr>
        <w:t>art.16 Decreto 32.810 de 28 de setembro de 2018</w:t>
      </w:r>
      <w:r w:rsidRPr="00542B3C">
        <w:rPr>
          <w:rFonts w:ascii="Arial" w:hAnsi="Arial" w:cs="Arial"/>
          <w:sz w:val="18"/>
          <w:szCs w:val="22"/>
        </w:rPr>
        <w:t>)</w:t>
      </w:r>
    </w:p>
    <w:p w:rsidR="001517E0" w:rsidRPr="00132028" w:rsidRDefault="001517E0" w:rsidP="001517E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517E0" w:rsidRPr="00132028" w:rsidRDefault="001517E0" w:rsidP="001D2A8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32028">
        <w:rPr>
          <w:rFonts w:ascii="Arial" w:hAnsi="Arial" w:cs="Arial"/>
          <w:sz w:val="22"/>
          <w:szCs w:val="22"/>
        </w:rPr>
        <w:t>O (A) ................................., inscrito no CNPJ n°..................., por intermédio de seu representante legal o(a) Sr(a)....................</w:t>
      </w:r>
      <w:bookmarkStart w:id="0" w:name="_GoBack"/>
      <w:bookmarkEnd w:id="0"/>
      <w:r w:rsidRPr="00132028">
        <w:rPr>
          <w:rFonts w:ascii="Arial" w:hAnsi="Arial" w:cs="Arial"/>
          <w:sz w:val="22"/>
          <w:szCs w:val="22"/>
        </w:rPr>
        <w:t xml:space="preserve">................, portador(a) da Carteira de Identidade nº............................ e do CPF nº ........................., DECLARA, sob as penas previstas no art. 299 do Código Penal, que não se enquadra nas vedações contidas nos incisos </w:t>
      </w:r>
      <w:r w:rsidR="0036487E" w:rsidRPr="00132028">
        <w:rPr>
          <w:rFonts w:ascii="Arial" w:hAnsi="Arial" w:cs="Arial"/>
          <w:sz w:val="22"/>
          <w:szCs w:val="22"/>
        </w:rPr>
        <w:t>I</w:t>
      </w:r>
      <w:r w:rsidR="00D606EB" w:rsidRPr="00132028">
        <w:rPr>
          <w:rFonts w:ascii="Arial" w:hAnsi="Arial" w:cs="Arial"/>
          <w:sz w:val="22"/>
          <w:szCs w:val="22"/>
        </w:rPr>
        <w:t>V</w:t>
      </w:r>
      <w:r w:rsidR="0036487E" w:rsidRPr="00132028">
        <w:rPr>
          <w:rFonts w:ascii="Arial" w:hAnsi="Arial" w:cs="Arial"/>
          <w:sz w:val="22"/>
          <w:szCs w:val="22"/>
        </w:rPr>
        <w:t xml:space="preserve"> ao IX</w:t>
      </w:r>
      <w:r w:rsidRPr="00132028">
        <w:rPr>
          <w:rFonts w:ascii="Arial" w:hAnsi="Arial" w:cs="Arial"/>
          <w:sz w:val="22"/>
          <w:szCs w:val="22"/>
        </w:rPr>
        <w:t xml:space="preserve"> do art.</w:t>
      </w:r>
      <w:r w:rsidR="0036487E" w:rsidRPr="00132028">
        <w:rPr>
          <w:rFonts w:ascii="Arial" w:hAnsi="Arial" w:cs="Arial"/>
          <w:sz w:val="22"/>
          <w:szCs w:val="22"/>
        </w:rPr>
        <w:t>16</w:t>
      </w:r>
      <w:r w:rsidRPr="00132028">
        <w:rPr>
          <w:rFonts w:ascii="Arial" w:hAnsi="Arial" w:cs="Arial"/>
          <w:sz w:val="22"/>
          <w:szCs w:val="22"/>
        </w:rPr>
        <w:t xml:space="preserve"> </w:t>
      </w:r>
      <w:r w:rsidR="0036487E" w:rsidRPr="00132028">
        <w:rPr>
          <w:rFonts w:ascii="Arial" w:hAnsi="Arial" w:cs="Arial"/>
          <w:sz w:val="22"/>
          <w:szCs w:val="22"/>
        </w:rPr>
        <w:t>Decreto 32.810 de 28 de setembro de 2018 (DOE 01/10/2018)</w:t>
      </w:r>
      <w:r w:rsidR="008C0ECC" w:rsidRPr="00132028">
        <w:rPr>
          <w:rFonts w:ascii="Arial" w:hAnsi="Arial" w:cs="Arial"/>
          <w:sz w:val="22"/>
          <w:szCs w:val="22"/>
        </w:rPr>
        <w:t xml:space="preserve"> e suas alterações</w:t>
      </w:r>
      <w:r w:rsidRPr="00132028">
        <w:rPr>
          <w:rFonts w:ascii="Arial" w:hAnsi="Arial" w:cs="Arial"/>
          <w:sz w:val="22"/>
          <w:szCs w:val="22"/>
        </w:rPr>
        <w:t>, abaixo indicados:</w:t>
      </w: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IV – Não tenha como dirigente membro de Poder ou do Ministério Público, ou dirigente de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órgão ou entidade da administração pública da mesma esfera governamental na qual será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celebrado o termo de colaboração ou de fomento, estendendo-se a vedação aos respectivos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cônjuges ou companheiros, bem como parentes em linha reta, colateral ou por afinidade, até o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segundo grau;</w:t>
      </w:r>
    </w:p>
    <w:p w:rsidR="001D2A89" w:rsidRPr="00132028" w:rsidRDefault="001D2A89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V – Não tenha tido contas rejeitadas pela Administração Pública nos últimos 5 (cinco) anos,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exceto se:</w:t>
      </w: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a) for sanada a irregularidade que motivou a rejeição e quitados os débitos eventualmente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imputados;</w:t>
      </w: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b) for reconsiderada ou revista a decisão pela rejeição;</w:t>
      </w: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c) a apreciação das contas estiver pendente de decisão em recurso com efeito suspensivo.</w:t>
      </w:r>
    </w:p>
    <w:p w:rsidR="001D2A89" w:rsidRPr="00132028" w:rsidRDefault="001D2A89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VI – Não tenha sido punida com uma das seguintes sanções, pelo período que durar a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penalidade:</w:t>
      </w: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a) suspensão de participação em licitação e impedimento de contratar com a administração;</w:t>
      </w: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b) declaração de inidoneidade para licitar ou contratar com a administração pública;</w:t>
      </w: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c) suspensão temporária, determinada por órgãos e entidades do Poder Executivo Estadual, da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participação em chamamento público e impedimento de celebrar parceria ou contrato com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estes, por prazo não superior a 2 (dois) anos;</w:t>
      </w: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d) declaração de inidoneidade para participar de chamamento público ou celebrar parceria ou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contrato com órgãos e entidades de todas as esferas de governo, enquanto perdurarem os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motivos determinantes da punição ou até que seja promovida a reabilitação perante a própria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autoridade que aplicou a penalidade, que será concedida sempre que a organização da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 xml:space="preserve">sociedade civil ressarcir a administração </w:t>
      </w:r>
      <w:r w:rsidRPr="00132028">
        <w:rPr>
          <w:rFonts w:ascii="Arial" w:hAnsi="Arial" w:cs="Arial"/>
          <w:color w:val="000000"/>
          <w:sz w:val="22"/>
          <w:szCs w:val="22"/>
        </w:rPr>
        <w:lastRenderedPageBreak/>
        <w:t>pública pelos prejuízos resultantes e após decorrido o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prazo da sanção aplicada com base na alínea “c”.</w:t>
      </w:r>
    </w:p>
    <w:p w:rsidR="001D2A89" w:rsidRPr="00132028" w:rsidRDefault="001D2A89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VII – não tenha tido contas de parceria julgadas irregulares ou rejeitadas pelo Tribunal ou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Conselho de Contas de qualquer esfera da Federação, em decisão irrecorrível, nos últimos 8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(oito) anos;</w:t>
      </w:r>
    </w:p>
    <w:p w:rsidR="001D2A89" w:rsidRPr="00132028" w:rsidRDefault="001D2A89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VIII – não tenha como dirigente ou responsável legal pessoa:</w:t>
      </w: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a) cujas contas relativas a parcerias tenham sido julgadas irregulares ou rejeitadas por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Tribunal ou Conselho de Contas de qualquer esfera da Federação, em decisão irrecorrível, nos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últimos 8 (oito) anos;</w:t>
      </w:r>
    </w:p>
    <w:p w:rsidR="0036487E" w:rsidRPr="00132028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b) julgada responsável por falta grave e inabilitado para o exercício de cargo em comissão ou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função de confiança, enquanto durar a inabilitação;</w:t>
      </w:r>
    </w:p>
    <w:p w:rsidR="0036487E" w:rsidRDefault="0036487E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32028">
        <w:rPr>
          <w:rFonts w:ascii="Arial" w:hAnsi="Arial" w:cs="Arial"/>
          <w:color w:val="000000"/>
          <w:sz w:val="22"/>
          <w:szCs w:val="22"/>
        </w:rPr>
        <w:t>c) considerada responsável por ato de improbidade, enquanto durarem os prazos estabelecidos</w:t>
      </w:r>
      <w:r w:rsidR="00395205" w:rsidRPr="001320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32028">
        <w:rPr>
          <w:rFonts w:ascii="Arial" w:hAnsi="Arial" w:cs="Arial"/>
          <w:color w:val="000000"/>
          <w:sz w:val="22"/>
          <w:szCs w:val="22"/>
        </w:rPr>
        <w:t>nos incisos I, II e III do art. 12 da Lei nº. 8.429, de 2 de junho de 1992.</w:t>
      </w:r>
    </w:p>
    <w:p w:rsidR="00D41D07" w:rsidRDefault="00D41D07" w:rsidP="001D2A89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41D07" w:rsidRPr="00132028" w:rsidRDefault="00D41D07" w:rsidP="00D41D07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41D07">
        <w:rPr>
          <w:rFonts w:ascii="Arial" w:hAnsi="Arial" w:cs="Arial"/>
          <w:color w:val="000000"/>
          <w:sz w:val="22"/>
          <w:szCs w:val="22"/>
        </w:rPr>
        <w:t xml:space="preserve">IX– </w:t>
      </w:r>
      <w:r>
        <w:rPr>
          <w:rFonts w:ascii="Arial" w:hAnsi="Arial" w:cs="Arial"/>
          <w:color w:val="000000"/>
          <w:sz w:val="22"/>
          <w:szCs w:val="22"/>
        </w:rPr>
        <w:t>N</w:t>
      </w:r>
      <w:r w:rsidRPr="00D41D07">
        <w:rPr>
          <w:rFonts w:ascii="Arial" w:hAnsi="Arial" w:cs="Arial"/>
          <w:color w:val="000000"/>
          <w:sz w:val="22"/>
          <w:szCs w:val="22"/>
        </w:rPr>
        <w:t>ão esteja regularmente constituída ou, se estrangeira, não esteja autorizada a funcionar</w:t>
      </w:r>
      <w:r w:rsidR="0016061F">
        <w:rPr>
          <w:rFonts w:ascii="Arial" w:hAnsi="Arial" w:cs="Arial"/>
          <w:color w:val="000000"/>
          <w:sz w:val="22"/>
          <w:szCs w:val="22"/>
        </w:rPr>
        <w:t xml:space="preserve"> </w:t>
      </w:r>
      <w:r w:rsidRPr="00D41D07">
        <w:rPr>
          <w:rFonts w:ascii="Arial" w:hAnsi="Arial" w:cs="Arial"/>
          <w:color w:val="000000"/>
          <w:sz w:val="22"/>
          <w:szCs w:val="22"/>
        </w:rPr>
        <w:t>no território nacional;</w:t>
      </w:r>
    </w:p>
    <w:p w:rsidR="00395205" w:rsidRPr="00132028" w:rsidRDefault="00395205" w:rsidP="0036487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1517E0" w:rsidRPr="00132028" w:rsidTr="00CD7409">
        <w:tc>
          <w:tcPr>
            <w:tcW w:w="8644" w:type="dxa"/>
            <w:gridSpan w:val="3"/>
          </w:tcPr>
          <w:p w:rsidR="001517E0" w:rsidRPr="00132028" w:rsidRDefault="001517E0" w:rsidP="001517E0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1517E0" w:rsidRPr="00132028" w:rsidRDefault="001517E0" w:rsidP="00EE56DF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2028">
              <w:rPr>
                <w:rFonts w:ascii="Arial" w:hAnsi="Arial" w:cs="Arial"/>
                <w:b/>
                <w:bCs/>
                <w:sz w:val="22"/>
                <w:szCs w:val="22"/>
              </w:rPr>
              <w:t>RELAÇÃO NOMINAL ATUALIZADA DOS DIRIGENTES DA ENTIDADE</w:t>
            </w:r>
          </w:p>
          <w:p w:rsidR="001517E0" w:rsidRPr="00132028" w:rsidRDefault="001517E0" w:rsidP="001517E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7E0" w:rsidRPr="00132028" w:rsidTr="00CD7409">
        <w:tc>
          <w:tcPr>
            <w:tcW w:w="2881" w:type="dxa"/>
          </w:tcPr>
          <w:p w:rsidR="001517E0" w:rsidRPr="00132028" w:rsidRDefault="001517E0" w:rsidP="001517E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0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do dirigente e cargo que ocupa na </w:t>
            </w:r>
            <w:r w:rsidR="00395205" w:rsidRPr="00132028">
              <w:rPr>
                <w:rFonts w:ascii="Arial" w:hAnsi="Arial" w:cs="Arial"/>
                <w:b/>
                <w:bCs/>
                <w:sz w:val="22"/>
                <w:szCs w:val="22"/>
              </w:rPr>
              <w:t>Instituição</w:t>
            </w:r>
          </w:p>
        </w:tc>
        <w:tc>
          <w:tcPr>
            <w:tcW w:w="2881" w:type="dxa"/>
          </w:tcPr>
          <w:p w:rsidR="001517E0" w:rsidRPr="00132028" w:rsidRDefault="001517E0" w:rsidP="001517E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0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Carteira de identidade, órgão expedidor e CPF </w:t>
            </w:r>
          </w:p>
        </w:tc>
        <w:tc>
          <w:tcPr>
            <w:tcW w:w="2882" w:type="dxa"/>
          </w:tcPr>
          <w:p w:rsidR="001517E0" w:rsidRPr="00132028" w:rsidRDefault="001517E0" w:rsidP="001517E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20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Endereço residencial, telefone e </w:t>
            </w:r>
            <w:r w:rsidRPr="00132028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e-mail </w:t>
            </w:r>
          </w:p>
        </w:tc>
      </w:tr>
      <w:tr w:rsidR="001517E0" w:rsidRPr="00132028" w:rsidTr="00CD7409">
        <w:tc>
          <w:tcPr>
            <w:tcW w:w="2881" w:type="dxa"/>
          </w:tcPr>
          <w:p w:rsidR="001517E0" w:rsidRPr="00132028" w:rsidRDefault="001517E0" w:rsidP="001517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1" w:type="dxa"/>
          </w:tcPr>
          <w:p w:rsidR="001517E0" w:rsidRPr="00132028" w:rsidRDefault="001517E0" w:rsidP="001517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2" w:type="dxa"/>
          </w:tcPr>
          <w:p w:rsidR="001517E0" w:rsidRPr="00132028" w:rsidRDefault="001517E0" w:rsidP="001517E0">
            <w:pPr>
              <w:jc w:val="both"/>
              <w:rPr>
                <w:rFonts w:ascii="Arial" w:hAnsi="Arial" w:cs="Arial"/>
              </w:rPr>
            </w:pPr>
          </w:p>
        </w:tc>
      </w:tr>
      <w:tr w:rsidR="001517E0" w:rsidRPr="00132028" w:rsidTr="00CD7409">
        <w:tc>
          <w:tcPr>
            <w:tcW w:w="2881" w:type="dxa"/>
          </w:tcPr>
          <w:p w:rsidR="001517E0" w:rsidRPr="00132028" w:rsidRDefault="001517E0" w:rsidP="001517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1" w:type="dxa"/>
          </w:tcPr>
          <w:p w:rsidR="001517E0" w:rsidRPr="00132028" w:rsidRDefault="001517E0" w:rsidP="001517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2" w:type="dxa"/>
          </w:tcPr>
          <w:p w:rsidR="001517E0" w:rsidRPr="00132028" w:rsidRDefault="001517E0" w:rsidP="001517E0">
            <w:pPr>
              <w:jc w:val="both"/>
              <w:rPr>
                <w:rFonts w:ascii="Arial" w:hAnsi="Arial" w:cs="Arial"/>
              </w:rPr>
            </w:pPr>
          </w:p>
        </w:tc>
      </w:tr>
      <w:tr w:rsidR="001517E0" w:rsidRPr="00132028" w:rsidTr="00CD7409">
        <w:tc>
          <w:tcPr>
            <w:tcW w:w="2881" w:type="dxa"/>
          </w:tcPr>
          <w:p w:rsidR="001517E0" w:rsidRPr="00132028" w:rsidRDefault="001517E0" w:rsidP="001517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1" w:type="dxa"/>
          </w:tcPr>
          <w:p w:rsidR="001517E0" w:rsidRPr="00132028" w:rsidRDefault="001517E0" w:rsidP="001517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2" w:type="dxa"/>
          </w:tcPr>
          <w:p w:rsidR="001517E0" w:rsidRPr="00132028" w:rsidRDefault="001517E0" w:rsidP="001517E0">
            <w:pPr>
              <w:jc w:val="both"/>
              <w:rPr>
                <w:rFonts w:ascii="Arial" w:hAnsi="Arial" w:cs="Arial"/>
              </w:rPr>
            </w:pPr>
          </w:p>
        </w:tc>
      </w:tr>
    </w:tbl>
    <w:p w:rsidR="001517E0" w:rsidRPr="00132028" w:rsidRDefault="001517E0" w:rsidP="001517E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E56DF" w:rsidRPr="00132028" w:rsidRDefault="00EE56DF" w:rsidP="001517E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E56DF" w:rsidRPr="00132028" w:rsidRDefault="00EE56DF" w:rsidP="001517E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E56DF" w:rsidRPr="00132028" w:rsidRDefault="00EE56DF" w:rsidP="001517E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04E42" w:rsidRDefault="00C04E42" w:rsidP="00C04E42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</w:rPr>
        <w:t xml:space="preserve">Município,   </w:t>
      </w:r>
      <w:proofErr w:type="gramEnd"/>
      <w:r>
        <w:rPr>
          <w:rFonts w:ascii="Arial" w:hAnsi="Arial" w:cs="Arial"/>
        </w:rPr>
        <w:t xml:space="preserve">  ___ de ___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__________</w:t>
      </w:r>
    </w:p>
    <w:p w:rsidR="00C04E42" w:rsidRDefault="00C04E42" w:rsidP="00C04E42">
      <w:pPr>
        <w:rPr>
          <w:rFonts w:ascii="Arial" w:hAnsi="Arial" w:cs="Arial"/>
        </w:rPr>
      </w:pPr>
    </w:p>
    <w:p w:rsidR="00C04E42" w:rsidRDefault="00C04E42" w:rsidP="00C04E42">
      <w:pPr>
        <w:rPr>
          <w:rFonts w:ascii="Arial" w:hAnsi="Arial" w:cs="Arial"/>
        </w:rPr>
      </w:pPr>
    </w:p>
    <w:p w:rsidR="00C04E42" w:rsidRDefault="00C04E42" w:rsidP="00C04E4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</w:p>
    <w:p w:rsidR="00C04E42" w:rsidRDefault="00C04E42" w:rsidP="00C04E4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Representante Legal</w:t>
      </w:r>
    </w:p>
    <w:p w:rsidR="001517E0" w:rsidRPr="00132028" w:rsidRDefault="001517E0" w:rsidP="00C04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1517E0" w:rsidRPr="00132028" w:rsidSect="00C3322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409" w:rsidRDefault="00CD7409" w:rsidP="001D100F">
      <w:r>
        <w:separator/>
      </w:r>
    </w:p>
  </w:endnote>
  <w:endnote w:type="continuationSeparator" w:id="0">
    <w:p w:rsidR="00CD7409" w:rsidRDefault="00CD7409" w:rsidP="001D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409" w:rsidRDefault="00CD7409" w:rsidP="001D100F">
      <w:r>
        <w:separator/>
      </w:r>
    </w:p>
  </w:footnote>
  <w:footnote w:type="continuationSeparator" w:id="0">
    <w:p w:rsidR="00CD7409" w:rsidRDefault="00CD7409" w:rsidP="001D1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409" w:rsidRPr="00EE6673" w:rsidRDefault="00CD7409" w:rsidP="00EE6673">
    <w:pPr>
      <w:pStyle w:val="Cabealho"/>
      <w:jc w:val="center"/>
      <w:rPr>
        <w:rFonts w:ascii="Arial" w:hAnsi="Arial" w:cs="Arial"/>
        <w:sz w:val="22"/>
      </w:rPr>
    </w:pPr>
    <w:r w:rsidRPr="00EE6673">
      <w:rPr>
        <w:rFonts w:ascii="Arial" w:hAnsi="Arial" w:cs="Arial"/>
        <w:sz w:val="22"/>
      </w:rPr>
      <w:t>TIMBRADO DA INSTITUIÇÃO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7E0"/>
    <w:rsid w:val="00132028"/>
    <w:rsid w:val="001517E0"/>
    <w:rsid w:val="0016061F"/>
    <w:rsid w:val="001855BB"/>
    <w:rsid w:val="001D100F"/>
    <w:rsid w:val="001D2A89"/>
    <w:rsid w:val="0036487E"/>
    <w:rsid w:val="00395205"/>
    <w:rsid w:val="00542B3C"/>
    <w:rsid w:val="00633EF5"/>
    <w:rsid w:val="00695CF9"/>
    <w:rsid w:val="008C0ECC"/>
    <w:rsid w:val="009E2255"/>
    <w:rsid w:val="00B01F08"/>
    <w:rsid w:val="00BB57C1"/>
    <w:rsid w:val="00C04E42"/>
    <w:rsid w:val="00C33221"/>
    <w:rsid w:val="00CD7409"/>
    <w:rsid w:val="00D41D07"/>
    <w:rsid w:val="00D606EB"/>
    <w:rsid w:val="00EE56DF"/>
    <w:rsid w:val="00EE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049EA"/>
  <w15:docId w15:val="{C85675C8-BC8B-4407-BEEF-868F2867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517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1517E0"/>
  </w:style>
  <w:style w:type="paragraph" w:styleId="Cabealho">
    <w:name w:val="header"/>
    <w:basedOn w:val="Normal"/>
    <w:link w:val="CabealhoChar"/>
    <w:uiPriority w:val="99"/>
    <w:unhideWhenUsed/>
    <w:rsid w:val="001D100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D100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D100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D100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14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551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mayara.alves</dc:creator>
  <cp:lastModifiedBy>ugpsesa19</cp:lastModifiedBy>
  <cp:revision>15</cp:revision>
  <dcterms:created xsi:type="dcterms:W3CDTF">2017-02-06T16:36:00Z</dcterms:created>
  <dcterms:modified xsi:type="dcterms:W3CDTF">2019-03-15T18:00:00Z</dcterms:modified>
</cp:coreProperties>
</file>